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12079BE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D54820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686194">
        <w:rPr>
          <w:bCs/>
          <w:noProof w:val="0"/>
          <w:sz w:val="24"/>
          <w:szCs w:val="24"/>
        </w:rPr>
        <w:t>2300306</w:t>
      </w:r>
    </w:p>
    <w:p w14:paraId="11776FA6" w14:textId="3D95CD47" w:rsidR="00A209D6" w:rsidRPr="00465587" w:rsidRDefault="00D5482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8B54E8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27 February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03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March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</w:t>
      </w:r>
      <w:r w:rsidR="00E038FB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0881E16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90DA9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490DA9">
        <w:rPr>
          <w:rFonts w:cs="Arial"/>
          <w:b/>
          <w:bCs/>
          <w:sz w:val="24"/>
          <w:lang w:eastAsia="ja-JP"/>
        </w:rPr>
        <w:t>12</w:t>
      </w:r>
      <w:r>
        <w:rPr>
          <w:rFonts w:cs="Arial"/>
          <w:b/>
          <w:bCs/>
          <w:sz w:val="24"/>
          <w:lang w:eastAsia="ja-JP"/>
        </w:rPr>
        <w:t>.</w:t>
      </w:r>
      <w:r w:rsidR="00490DA9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8F50C97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E3B51">
        <w:rPr>
          <w:rFonts w:ascii="Arial" w:hAnsi="Arial" w:cs="Arial"/>
          <w:b/>
          <w:bCs/>
          <w:sz w:val="24"/>
        </w:rPr>
        <w:t xml:space="preserve">Mobile </w:t>
      </w:r>
      <w:r w:rsidR="001C2725">
        <w:rPr>
          <w:rFonts w:ascii="Arial" w:hAnsi="Arial" w:cs="Arial"/>
          <w:b/>
          <w:bCs/>
          <w:sz w:val="24"/>
        </w:rPr>
        <w:t>IAB TAC/RANAC</w:t>
      </w:r>
      <w:r w:rsidR="00686194">
        <w:rPr>
          <w:rFonts w:ascii="Arial" w:hAnsi="Arial" w:cs="Arial"/>
          <w:b/>
          <w:bCs/>
          <w:sz w:val="24"/>
        </w:rPr>
        <w:t xml:space="preserve"> </w:t>
      </w:r>
      <w:r w:rsidR="001C2725">
        <w:rPr>
          <w:rFonts w:ascii="Arial" w:hAnsi="Arial" w:cs="Arial"/>
          <w:b/>
          <w:bCs/>
          <w:sz w:val="24"/>
        </w:rPr>
        <w:t>issues</w:t>
      </w:r>
    </w:p>
    <w:p w14:paraId="25F387E8" w14:textId="67DDA87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90DA9" w:rsidRPr="00490DA9">
        <w:rPr>
          <w:rFonts w:ascii="Arial" w:hAnsi="Arial" w:cs="Arial"/>
          <w:b/>
          <w:bCs/>
          <w:sz w:val="24"/>
        </w:rPr>
        <w:t>NR_mobile_IAB</w:t>
      </w:r>
      <w:proofErr w:type="spellEnd"/>
      <w:r w:rsidR="00490DA9" w:rsidRPr="00490DA9">
        <w:rPr>
          <w:rFonts w:ascii="Arial" w:hAnsi="Arial" w:cs="Arial"/>
          <w:b/>
          <w:bCs/>
          <w:sz w:val="24"/>
        </w:rPr>
        <w:t>-Core</w:t>
      </w:r>
      <w:r w:rsidR="00490DA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90DA9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E862797" w14:textId="60BAA4B1" w:rsidR="00B476F8" w:rsidRDefault="00F362D7" w:rsidP="009339CB">
      <w:r>
        <w:t>Regarding the</w:t>
      </w:r>
      <w:r w:rsidR="002C48A3">
        <w:t xml:space="preserve"> </w:t>
      </w:r>
      <w:r>
        <w:t>TAC</w:t>
      </w:r>
      <w:r w:rsidR="001B5E5F">
        <w:t>/RANAC broadcasted by</w:t>
      </w:r>
      <w:r>
        <w:t xml:space="preserve"> </w:t>
      </w:r>
      <w:r w:rsidR="002C48A3">
        <w:t>mobile</w:t>
      </w:r>
      <w:r w:rsidR="00EE3B51">
        <w:t xml:space="preserve"> </w:t>
      </w:r>
      <w:r w:rsidR="002C48A3">
        <w:t>IAB nodes</w:t>
      </w:r>
      <w:r>
        <w:t xml:space="preserve">, RAN3 provided the following information to RAN2 in LS </w:t>
      </w:r>
      <w:hyperlink r:id="rId13" w:history="1">
        <w:r w:rsidRPr="002C48A3">
          <w:rPr>
            <w:rStyle w:val="Hyperlink"/>
          </w:rPr>
          <w:t>R3-226831</w:t>
        </w:r>
      </w:hyperlink>
      <w:r>
        <w:t xml:space="preserve"> “</w:t>
      </w:r>
      <w:r w:rsidRPr="00F362D7">
        <w:t>LS on static and dynamic TAC solutions for mobile IAB node</w:t>
      </w:r>
      <w:r>
        <w:t>”:</w:t>
      </w:r>
    </w:p>
    <w:p w14:paraId="17EA5D18" w14:textId="77777777" w:rsidR="002C48A3" w:rsidRDefault="002C48A3" w:rsidP="002C48A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/>
        <w:rPr>
          <w:rFonts w:ascii="Calibri" w:hAnsi="Calibri" w:cs="Calibri"/>
          <w:b/>
          <w:bCs/>
          <w:color w:val="008000"/>
          <w:sz w:val="18"/>
          <w:szCs w:val="18"/>
        </w:rPr>
      </w:pPr>
      <w:r>
        <w:rPr>
          <w:rFonts w:ascii="Calibri" w:hAnsi="Calibri" w:cs="Calibri"/>
          <w:b/>
          <w:bCs/>
          <w:color w:val="008000"/>
          <w:sz w:val="18"/>
          <w:szCs w:val="18"/>
        </w:rPr>
        <w:t xml:space="preserve">Static TAC solution is not pursued. </w:t>
      </w:r>
    </w:p>
    <w:p w14:paraId="127D3BA2" w14:textId="15021340" w:rsidR="00F362D7" w:rsidRDefault="002C48A3" w:rsidP="002C4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/>
      </w:pPr>
      <w:r>
        <w:rPr>
          <w:rFonts w:ascii="Calibri" w:hAnsi="Calibri" w:cs="Calibri"/>
          <w:b/>
          <w:bCs/>
          <w:color w:val="008000"/>
          <w:sz w:val="18"/>
          <w:szCs w:val="18"/>
        </w:rPr>
        <w:t>RAN3 assumes that dynamic TAC solution should be supported.</w:t>
      </w:r>
    </w:p>
    <w:p w14:paraId="7EF9B43C" w14:textId="79F9DCB1" w:rsidR="002C48A3" w:rsidRDefault="00F147A7" w:rsidP="009339CB">
      <w:r>
        <w:t xml:space="preserve">In this contribution, we address </w:t>
      </w:r>
      <w:r w:rsidR="001B5E5F">
        <w:t>the RAN2</w:t>
      </w:r>
      <w:r w:rsidR="00EE3B51">
        <w:t xml:space="preserve"> aspects related to supporting dynamic TAC during IAB-node mobility as well as issues related to dynamic RANAC (assuming RAN3 decides that dynamic RANAC should be supported).</w:t>
      </w:r>
    </w:p>
    <w:p w14:paraId="7D484B6E" w14:textId="07A27DA6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645942">
        <w:t>Discussion</w:t>
      </w:r>
    </w:p>
    <w:p w14:paraId="5982B445" w14:textId="41561A2B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280412">
        <w:t>TAC issues due to IAB migration</w:t>
      </w:r>
    </w:p>
    <w:p w14:paraId="064A97E8" w14:textId="32AEBA44" w:rsidR="009339CB" w:rsidRDefault="00812EE0" w:rsidP="009339CB">
      <w:r>
        <w:t xml:space="preserve">Assuming </w:t>
      </w:r>
      <w:r w:rsidR="00633F09">
        <w:t xml:space="preserve">dynamic TAC </w:t>
      </w:r>
      <w:r>
        <w:t>is</w:t>
      </w:r>
      <w:r w:rsidR="00633F09">
        <w:t xml:space="preserve"> supported, </w:t>
      </w:r>
      <w:r>
        <w:t xml:space="preserve">on-board UEs </w:t>
      </w:r>
      <w:r w:rsidR="00344761">
        <w:t>could</w:t>
      </w:r>
      <w:r>
        <w:t xml:space="preserve"> trigger tracking area updates every time the mobile IAB moves to a new TAC. This creates a potential risk for </w:t>
      </w:r>
      <w:r w:rsidR="00633F09">
        <w:t xml:space="preserve">signalling </w:t>
      </w:r>
      <w:r>
        <w:t xml:space="preserve">storms, particularly </w:t>
      </w:r>
      <w:r w:rsidR="00344761">
        <w:t>from</w:t>
      </w:r>
      <w:r>
        <w:t xml:space="preserve"> UEs in RRC_IDLE state</w:t>
      </w:r>
      <w:r w:rsidR="00344761">
        <w:t xml:space="preserve"> that</w:t>
      </w:r>
      <w:r>
        <w:t xml:space="preserve"> will need to initiate new connections for mobility registration update</w:t>
      </w:r>
      <w:r w:rsidR="00633F09">
        <w:t>.</w:t>
      </w:r>
      <w:r w:rsidR="009339CB" w:rsidRPr="006E13D1">
        <w:t xml:space="preserve"> </w:t>
      </w:r>
    </w:p>
    <w:p w14:paraId="539AB916" w14:textId="531D643C" w:rsidR="00344761" w:rsidRPr="006E13D1" w:rsidRDefault="00344761" w:rsidP="009339CB">
      <w:r>
        <w:t>However, this problem might be manageable with existing legacy mechanisms</w:t>
      </w:r>
      <w:r w:rsidR="006649E7">
        <w:t>.</w:t>
      </w:r>
      <w:r>
        <w:t xml:space="preserve"> </w:t>
      </w:r>
      <w:r w:rsidR="006649E7">
        <w:t xml:space="preserve">To minimize frequent tracking area updates for a UE, </w:t>
      </w:r>
      <w:r>
        <w:t xml:space="preserve">an AMF </w:t>
      </w:r>
      <w:r w:rsidR="006649E7">
        <w:t>is already able to</w:t>
      </w:r>
      <w:r>
        <w:t xml:space="preserve"> configure </w:t>
      </w:r>
      <w:r w:rsidR="006649E7">
        <w:t>the UE</w:t>
      </w:r>
      <w:r w:rsidR="00FC09CA">
        <w:t xml:space="preserve"> with a registration area composed of</w:t>
      </w:r>
      <w:r>
        <w:t xml:space="preserve"> </w:t>
      </w:r>
      <w:r w:rsidR="006649E7">
        <w:t xml:space="preserve">a </w:t>
      </w:r>
      <w:r>
        <w:t>TAI</w:t>
      </w:r>
      <w:r w:rsidR="006649E7">
        <w:t xml:space="preserve"> li</w:t>
      </w:r>
      <w:r>
        <w:t>s</w:t>
      </w:r>
      <w:r w:rsidR="006649E7">
        <w:t xml:space="preserve">t. Then the </w:t>
      </w:r>
      <w:r>
        <w:t xml:space="preserve">UE will not trigger </w:t>
      </w:r>
      <w:r w:rsidR="006649E7">
        <w:t>TAU within the registration area.</w:t>
      </w:r>
      <w:r>
        <w:t xml:space="preserve"> </w:t>
      </w:r>
      <w:r w:rsidR="006649E7">
        <w:t xml:space="preserve">An AMF is also able to know </w:t>
      </w:r>
      <w:r w:rsidR="003A300F">
        <w:t>what cell (</w:t>
      </w:r>
      <w:r w:rsidR="00EE3B51">
        <w:t>NCGI</w:t>
      </w:r>
      <w:r w:rsidR="003A300F">
        <w:t>) a</w:t>
      </w:r>
      <w:r w:rsidR="006649E7">
        <w:t xml:space="preserve"> UE is registered on (either when the UE triggers a (mobility or periodic) registration update</w:t>
      </w:r>
      <w:r w:rsidR="003A300F">
        <w:t xml:space="preserve"> on the cell</w:t>
      </w:r>
      <w:r w:rsidR="006649E7">
        <w:t xml:space="preserve">, or when the UE initiates a new connection on the </w:t>
      </w:r>
      <w:r w:rsidR="003A300F">
        <w:t>cell)</w:t>
      </w:r>
      <w:r w:rsidR="006649E7">
        <w:t xml:space="preserve">. Therefore, </w:t>
      </w:r>
      <w:r w:rsidR="00FC09CA">
        <w:t xml:space="preserve">if an AMF observes that a UE is registering on an m-IAB </w:t>
      </w:r>
      <w:r w:rsidR="003A300F">
        <w:t xml:space="preserve">cell </w:t>
      </w:r>
      <w:r w:rsidR="00FC09CA">
        <w:t xml:space="preserve">the AMF could theoretically provide the UE with a registration area that includes the TACs located on the </w:t>
      </w:r>
      <w:r w:rsidR="003A300F">
        <w:t xml:space="preserve">travel </w:t>
      </w:r>
      <w:r w:rsidR="00FC09CA">
        <w:t>route of the m-IAB.</w:t>
      </w:r>
    </w:p>
    <w:p w14:paraId="0E1D5BF1" w14:textId="70479352" w:rsidR="009339CB" w:rsidRDefault="009339CB" w:rsidP="009339CB">
      <w:r w:rsidRPr="00B84DB2">
        <w:rPr>
          <w:b/>
        </w:rPr>
        <w:t>Observation 1</w:t>
      </w:r>
      <w:r w:rsidRPr="007A2E55">
        <w:rPr>
          <w:bCs/>
        </w:rPr>
        <w:t>:</w:t>
      </w:r>
      <w:r>
        <w:t xml:space="preserve"> </w:t>
      </w:r>
      <w:r w:rsidR="00FC09CA">
        <w:t xml:space="preserve">Frequent TAU from on-board UEs can be </w:t>
      </w:r>
      <w:r w:rsidR="00DD0D59">
        <w:t>minimized</w:t>
      </w:r>
      <w:r w:rsidR="00FC09CA">
        <w:t xml:space="preserve"> by legacy mechanisms, </w:t>
      </w:r>
      <w:proofErr w:type="gramStart"/>
      <w:r w:rsidR="003A300F">
        <w:t>i</w:t>
      </w:r>
      <w:r w:rsidR="00FC09CA">
        <w:t>.</w:t>
      </w:r>
      <w:r w:rsidR="003A300F">
        <w:t>e</w:t>
      </w:r>
      <w:r w:rsidR="00FC09CA">
        <w:t>.</w:t>
      </w:r>
      <w:proofErr w:type="gramEnd"/>
      <w:r w:rsidR="006747B3">
        <w:t xml:space="preserve"> by configuring the </w:t>
      </w:r>
      <w:r w:rsidR="00FC09CA">
        <w:t>UE</w:t>
      </w:r>
      <w:r w:rsidR="003A300F">
        <w:t>s</w:t>
      </w:r>
      <w:r w:rsidR="006747B3">
        <w:t xml:space="preserve"> </w:t>
      </w:r>
      <w:r w:rsidR="00FC09CA">
        <w:t>with a TAI list</w:t>
      </w:r>
      <w:r>
        <w:t>.</w:t>
      </w:r>
    </w:p>
    <w:p w14:paraId="31B4702A" w14:textId="6CB07468" w:rsidR="00FC09CA" w:rsidRDefault="006315CE" w:rsidP="009339CB">
      <w:r>
        <w:t xml:space="preserve">One </w:t>
      </w:r>
      <w:r w:rsidR="003A300F">
        <w:t xml:space="preserve">advantage of using </w:t>
      </w:r>
      <w:r w:rsidR="00DD0D59">
        <w:t xml:space="preserve">registration areas </w:t>
      </w:r>
      <w:r w:rsidR="003A300F">
        <w:t>to manage</w:t>
      </w:r>
      <w:r w:rsidR="00DD0D59">
        <w:t xml:space="preserve"> TAU </w:t>
      </w:r>
      <w:r w:rsidR="003A300F">
        <w:t>of on-board UEs is that</w:t>
      </w:r>
      <w:r>
        <w:t xml:space="preserve"> both </w:t>
      </w:r>
      <w:r w:rsidR="00DD0D59">
        <w:t>legacy and Rel-18 UEs</w:t>
      </w:r>
      <w:r>
        <w:t xml:space="preserve"> can be included</w:t>
      </w:r>
      <w:r w:rsidR="00320711">
        <w:t>, whereas o</w:t>
      </w:r>
      <w:r>
        <w:t xml:space="preserve">ther approaches based on enhancements in the </w:t>
      </w:r>
      <w:proofErr w:type="spellStart"/>
      <w:r>
        <w:t>Uu</w:t>
      </w:r>
      <w:proofErr w:type="spellEnd"/>
      <w:r>
        <w:t xml:space="preserve"> interface would only benefit Rel-18 UEs.</w:t>
      </w:r>
    </w:p>
    <w:p w14:paraId="18EC4EF0" w14:textId="299B2438" w:rsidR="006315CE" w:rsidRDefault="006315CE" w:rsidP="009339CB">
      <w:r w:rsidRPr="006315CE">
        <w:rPr>
          <w:b/>
          <w:bCs/>
        </w:rPr>
        <w:t>Observation 2:</w:t>
      </w:r>
      <w:r>
        <w:t xml:space="preserve"> Managing TAUs with registration areas is applicable to legacy and Rel-18 UEs</w:t>
      </w:r>
      <w:r w:rsidR="009906B5">
        <w:t xml:space="preserve">, </w:t>
      </w:r>
      <w:r w:rsidR="005C6F08">
        <w:t xml:space="preserve">whereas </w:t>
      </w:r>
      <w:r>
        <w:t xml:space="preserve">enhancements focused on </w:t>
      </w:r>
      <w:proofErr w:type="spellStart"/>
      <w:r>
        <w:t>Uu</w:t>
      </w:r>
      <w:proofErr w:type="spellEnd"/>
      <w:r>
        <w:t xml:space="preserve"> interface can only be applied to Rel-18 UEs.</w:t>
      </w:r>
    </w:p>
    <w:p w14:paraId="2BD6C26E" w14:textId="284333AE" w:rsidR="006315CE" w:rsidRDefault="00320711" w:rsidP="009339CB">
      <w:r w:rsidRPr="00320711">
        <w:rPr>
          <w:b/>
          <w:bCs/>
        </w:rPr>
        <w:t xml:space="preserve">Proposal </w:t>
      </w:r>
      <w:r w:rsidR="005C6F08">
        <w:rPr>
          <w:b/>
          <w:bCs/>
        </w:rPr>
        <w:t>1</w:t>
      </w:r>
      <w:r>
        <w:t>: RAN2 assumes TAU may be managed with legacy mechanisms and does not pursue further optimization unless issue is raised in another WG.</w:t>
      </w:r>
    </w:p>
    <w:p w14:paraId="33F6F575" w14:textId="35149F6A" w:rsidR="00000CBC" w:rsidRDefault="00000CBC" w:rsidP="009339CB">
      <w:r>
        <w:t xml:space="preserve">Another issue related to dynamic TAC is </w:t>
      </w:r>
      <w:r>
        <w:rPr>
          <w:i/>
          <w:iCs/>
        </w:rPr>
        <w:t>which</w:t>
      </w:r>
      <w:r>
        <w:t xml:space="preserve"> TAC the m-IAB</w:t>
      </w:r>
      <w:r w:rsidR="00EF1E15">
        <w:t xml:space="preserve">-DU </w:t>
      </w:r>
      <w:r>
        <w:t>should broadcast. In a multi-hop topology, the TACs of the parent</w:t>
      </w:r>
      <w:r w:rsidR="003645A5">
        <w:t xml:space="preserve">-DU </w:t>
      </w:r>
      <w:r>
        <w:t>and donor</w:t>
      </w:r>
      <w:r w:rsidR="003645A5">
        <w:t>-DU</w:t>
      </w:r>
      <w:r>
        <w:t xml:space="preserve"> could be different, and it is not yet confirmed </w:t>
      </w:r>
      <w:r w:rsidRPr="001B5E5F">
        <w:t>by RAN3</w:t>
      </w:r>
      <w:r w:rsidRPr="008414B4">
        <w:rPr>
          <w:color w:val="FF0000"/>
        </w:rPr>
        <w:t xml:space="preserve"> </w:t>
      </w:r>
      <w:r>
        <w:t xml:space="preserve">which TAC the m-IAB should </w:t>
      </w:r>
      <w:r w:rsidR="00EF1E15">
        <w:t>broadcast</w:t>
      </w:r>
      <w:r>
        <w:t xml:space="preserve"> (parent or donor TAC).</w:t>
      </w:r>
    </w:p>
    <w:p w14:paraId="619F6257" w14:textId="084FD2AD" w:rsidR="00000CBC" w:rsidRDefault="00235DE1" w:rsidP="009339CB">
      <w:r>
        <w:t>Whether</w:t>
      </w:r>
      <w:r w:rsidR="00EF1E15">
        <w:t xml:space="preserve"> the</w:t>
      </w:r>
      <w:r>
        <w:t xml:space="preserve"> m-IAB</w:t>
      </w:r>
      <w:r w:rsidR="00EF1E15">
        <w:t>-DU</w:t>
      </w:r>
      <w:r>
        <w:t xml:space="preserve"> is configured to </w:t>
      </w:r>
      <w:r w:rsidR="00EF1E15">
        <w:t>broadcast</w:t>
      </w:r>
      <w:r>
        <w:t xml:space="preserve"> the TAC of the </w:t>
      </w:r>
      <w:r w:rsidR="00EF1E15">
        <w:t xml:space="preserve">m-IAB’s </w:t>
      </w:r>
      <w:r>
        <w:t xml:space="preserve">parent cell or </w:t>
      </w:r>
      <w:r w:rsidR="003645A5">
        <w:t>donor-DU</w:t>
      </w:r>
      <w:r>
        <w:t xml:space="preserve"> would be </w:t>
      </w:r>
      <w:r w:rsidRPr="001B5E5F">
        <w:t>determined by RAN3</w:t>
      </w:r>
      <w:r>
        <w:t xml:space="preserve">. In our view, this does not impact </w:t>
      </w:r>
      <w:r w:rsidR="008414B4">
        <w:t>RAN2 decisions related to TAU for on-board UEs</w:t>
      </w:r>
      <w:r>
        <w:t>, since</w:t>
      </w:r>
      <w:r w:rsidR="008414B4">
        <w:t xml:space="preserve"> it would only impact which TACs get broadcasted by the m-IAB and (possibly) how often the TAC changes</w:t>
      </w:r>
      <w:r>
        <w:t>.</w:t>
      </w:r>
    </w:p>
    <w:p w14:paraId="1E02F4B6" w14:textId="01DEA398" w:rsidR="00FB0C7B" w:rsidRPr="00000CBC" w:rsidRDefault="008414B4" w:rsidP="009339CB">
      <w:r w:rsidRPr="008414B4">
        <w:rPr>
          <w:b/>
          <w:bCs/>
        </w:rPr>
        <w:lastRenderedPageBreak/>
        <w:t xml:space="preserve">Observation </w:t>
      </w:r>
      <w:r w:rsidR="005C6F08">
        <w:rPr>
          <w:b/>
          <w:bCs/>
        </w:rPr>
        <w:t>3</w:t>
      </w:r>
      <w:r>
        <w:t>: Whether m-IAB</w:t>
      </w:r>
      <w:r w:rsidR="00EF1E15">
        <w:t>-DU</w:t>
      </w:r>
      <w:r>
        <w:t xml:space="preserve"> is configured to</w:t>
      </w:r>
      <w:r w:rsidR="00EF1E15">
        <w:t xml:space="preserve"> broadcast</w:t>
      </w:r>
      <w:r>
        <w:t xml:space="preserve"> the TAC of the </w:t>
      </w:r>
      <w:r w:rsidR="00EF1E15">
        <w:t xml:space="preserve">m-IAB’s </w:t>
      </w:r>
      <w:r w:rsidR="003645A5">
        <w:t>parent-DU</w:t>
      </w:r>
      <w:r>
        <w:t xml:space="preserve"> or the TAC of the </w:t>
      </w:r>
      <w:r w:rsidR="003645A5">
        <w:t>donor-DU</w:t>
      </w:r>
      <w:r>
        <w:t xml:space="preserve"> does not impact procedures for the on-board UEs.</w:t>
      </w:r>
    </w:p>
    <w:p w14:paraId="2F3F4221" w14:textId="3C4746F0" w:rsidR="008414B4" w:rsidRDefault="008414B4" w:rsidP="009339CB">
      <w:r>
        <w:t xml:space="preserve">Nonetheless, we </w:t>
      </w:r>
      <w:r w:rsidR="00BE01AE">
        <w:t xml:space="preserve">see some benefits </w:t>
      </w:r>
      <w:r w:rsidR="00EF1E15">
        <w:t xml:space="preserve">if the m-IAB-DU broadcasts the same TAC as the </w:t>
      </w:r>
      <w:r w:rsidR="003645A5">
        <w:t>parent-DU</w:t>
      </w:r>
      <w:r w:rsidR="00EF1E15">
        <w:t xml:space="preserve">. </w:t>
      </w:r>
      <w:r w:rsidR="00EF1E15" w:rsidRPr="006C1F4E">
        <w:t>Since on-board detection</w:t>
      </w:r>
      <w:r w:rsidR="00EF1E15">
        <w:t xml:space="preserve"> may not be perfect, it makes sense to minimize </w:t>
      </w:r>
      <w:r w:rsidR="00EF1E15" w:rsidRPr="006C1F4E">
        <w:t>TAU f</w:t>
      </w:r>
      <w:r w:rsidR="00543DB9">
        <w:t>or</w:t>
      </w:r>
      <w:r w:rsidR="00EF1E15" w:rsidRPr="006C1F4E">
        <w:t xml:space="preserve"> </w:t>
      </w:r>
      <w:r w:rsidR="00053B33">
        <w:t xml:space="preserve">(off-board and on-board) </w:t>
      </w:r>
      <w:r w:rsidR="00EF1E15">
        <w:t xml:space="preserve">UEs in </w:t>
      </w:r>
      <w:r w:rsidR="00142D6D">
        <w:t xml:space="preserve">the </w:t>
      </w:r>
      <w:r w:rsidR="00EF1E15">
        <w:t>vicinity of the m-IAB</w:t>
      </w:r>
      <w:r w:rsidR="00EF1E15" w:rsidRPr="006C1F4E">
        <w:t>. To do this</w:t>
      </w:r>
      <w:r w:rsidR="00543DB9">
        <w:t>,</w:t>
      </w:r>
      <w:r w:rsidR="00EF1E15" w:rsidRPr="006C1F4E">
        <w:t xml:space="preserve"> </w:t>
      </w:r>
      <w:r w:rsidR="00142D6D">
        <w:t xml:space="preserve">the </w:t>
      </w:r>
      <w:r w:rsidR="00EF1E15" w:rsidRPr="006C1F4E">
        <w:t>TAC broadcasted by the m</w:t>
      </w:r>
      <w:r w:rsidR="00543DB9">
        <w:t>-</w:t>
      </w:r>
      <w:r w:rsidR="00EF1E15" w:rsidRPr="006C1F4E">
        <w:t xml:space="preserve">IAB should be </w:t>
      </w:r>
      <w:r w:rsidR="00543DB9">
        <w:t xml:space="preserve">the </w:t>
      </w:r>
      <w:r w:rsidR="00EF1E15" w:rsidRPr="006C1F4E">
        <w:t xml:space="preserve">same as </w:t>
      </w:r>
      <w:r w:rsidR="00EF1E15">
        <w:t>geographically adjacent cells</w:t>
      </w:r>
      <w:r w:rsidR="00EF1E15" w:rsidRPr="006C1F4E">
        <w:t xml:space="preserve"> if possible. </w:t>
      </w:r>
      <w:r w:rsidR="006E2F9E">
        <w:t>Assuming reasonable network planning, t</w:t>
      </w:r>
      <w:r w:rsidR="00543DB9">
        <w:t xml:space="preserve">he TAC broadcasted by the parent node is more likely to </w:t>
      </w:r>
      <w:r w:rsidR="00EF1E15" w:rsidRPr="006C1F4E">
        <w:t>be the same TAC</w:t>
      </w:r>
      <w:r w:rsidR="00543DB9">
        <w:t xml:space="preserve"> as these cells</w:t>
      </w:r>
      <w:r w:rsidR="00EF1E15" w:rsidRPr="006C1F4E">
        <w:t>. On other hand</w:t>
      </w:r>
      <w:r w:rsidR="00543DB9">
        <w:t>, the</w:t>
      </w:r>
      <w:r w:rsidR="00EF1E15" w:rsidRPr="006C1F4E">
        <w:t xml:space="preserve"> TAC </w:t>
      </w:r>
      <w:r w:rsidR="00543DB9">
        <w:t>from</w:t>
      </w:r>
      <w:r w:rsidR="00EF1E15" w:rsidRPr="006C1F4E">
        <w:t xml:space="preserve"> </w:t>
      </w:r>
      <w:r w:rsidR="00543DB9">
        <w:t xml:space="preserve">the </w:t>
      </w:r>
      <w:r w:rsidR="00EF1E15" w:rsidRPr="006C1F4E">
        <w:t>donor could be different than sites in</w:t>
      </w:r>
      <w:r w:rsidR="00543DB9">
        <w:t xml:space="preserve"> the</w:t>
      </w:r>
      <w:r w:rsidR="00EF1E15" w:rsidRPr="006C1F4E">
        <w:t xml:space="preserve"> immediate vicinity of m</w:t>
      </w:r>
      <w:r w:rsidR="00543DB9">
        <w:t>-</w:t>
      </w:r>
      <w:r w:rsidR="00EF1E15" w:rsidRPr="006C1F4E">
        <w:t xml:space="preserve">IAB </w:t>
      </w:r>
      <w:r w:rsidR="00543DB9">
        <w:t xml:space="preserve">node </w:t>
      </w:r>
      <w:r w:rsidR="00EF1E15" w:rsidRPr="006C1F4E">
        <w:t>(especially if</w:t>
      </w:r>
      <w:r w:rsidR="00543DB9">
        <w:t xml:space="preserve"> the donor</w:t>
      </w:r>
      <w:r w:rsidR="00EF1E15" w:rsidRPr="006C1F4E">
        <w:t xml:space="preserve"> is several hops away).</w:t>
      </w:r>
      <w:r w:rsidR="00543DB9">
        <w:t xml:space="preserve"> This strategy would also minimize signalling storms when UEs enter or exit the m-IAB.</w:t>
      </w:r>
    </w:p>
    <w:p w14:paraId="73520582" w14:textId="157930CB" w:rsidR="006C1F4E" w:rsidRDefault="00543DB9" w:rsidP="009339CB">
      <w:r w:rsidRPr="006E2F9E">
        <w:rPr>
          <w:b/>
          <w:bCs/>
        </w:rPr>
        <w:t xml:space="preserve">Observation </w:t>
      </w:r>
      <w:r w:rsidR="005C6F08">
        <w:rPr>
          <w:b/>
          <w:bCs/>
        </w:rPr>
        <w:t>4</w:t>
      </w:r>
      <w:r>
        <w:t xml:space="preserve">: </w:t>
      </w:r>
      <w:r w:rsidR="006E2F9E">
        <w:t xml:space="preserve">Assuming reasonable network planning, </w:t>
      </w:r>
      <w:r>
        <w:t xml:space="preserve">TAU-related signalling storms </w:t>
      </w:r>
      <w:r w:rsidR="006E2F9E">
        <w:t xml:space="preserve">can be </w:t>
      </w:r>
      <w:r w:rsidR="00053B33">
        <w:t>reduced</w:t>
      </w:r>
      <w:r w:rsidR="006E2F9E">
        <w:t xml:space="preserve"> if the m-IAB broadcasts the TAC of its </w:t>
      </w:r>
      <w:r w:rsidR="003645A5">
        <w:t>parent-DU</w:t>
      </w:r>
      <w:r w:rsidR="006E2F9E">
        <w:t xml:space="preserve"> instead of the TAC of its </w:t>
      </w:r>
      <w:r w:rsidR="003645A5">
        <w:t>donor-DU</w:t>
      </w:r>
      <w:r w:rsidR="006E2F9E">
        <w:t>.</w:t>
      </w:r>
    </w:p>
    <w:p w14:paraId="4B98C3CC" w14:textId="243BD611" w:rsidR="004C064B" w:rsidRPr="006E13D1" w:rsidRDefault="004C064B" w:rsidP="004C064B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 w:rsidR="002B3F06">
        <w:t>RANAC</w:t>
      </w:r>
      <w:r>
        <w:t xml:space="preserve"> issues due to IAB migration</w:t>
      </w:r>
    </w:p>
    <w:p w14:paraId="5AB78099" w14:textId="06859D26" w:rsidR="004C064B" w:rsidRDefault="004C064B" w:rsidP="004C064B">
      <w:pPr>
        <w:rPr>
          <w:szCs w:val="24"/>
          <w:lang w:eastAsia="en-GB"/>
        </w:rPr>
      </w:pPr>
      <w:r>
        <w:rPr>
          <w:szCs w:val="24"/>
          <w:lang w:eastAsia="en-GB"/>
        </w:rPr>
        <w:t>RAN3 has not yet agreed whether m-IAB shall support dynamic or static RANAC. However, assuming dynamic RANACs are to be supported in m-IAB, s</w:t>
      </w:r>
      <w:r w:rsidR="00E856D4">
        <w:rPr>
          <w:szCs w:val="24"/>
          <w:lang w:eastAsia="en-GB"/>
        </w:rPr>
        <w:t xml:space="preserve">imilar principles as discussed above </w:t>
      </w:r>
      <w:r w:rsidR="00CB2B40">
        <w:rPr>
          <w:szCs w:val="24"/>
          <w:lang w:eastAsia="en-GB"/>
        </w:rPr>
        <w:t>could</w:t>
      </w:r>
      <w:r w:rsidR="00E856D4">
        <w:rPr>
          <w:szCs w:val="24"/>
          <w:lang w:eastAsia="en-GB"/>
        </w:rPr>
        <w:t xml:space="preserve"> also be applied to the case of RRC_INACTIVE UEs.</w:t>
      </w:r>
    </w:p>
    <w:p w14:paraId="2F43F23F" w14:textId="2AC0CA43" w:rsidR="004C064B" w:rsidRDefault="00CB2B40" w:rsidP="00FB0C7B">
      <w:pPr>
        <w:widowControl w:val="0"/>
        <w:rPr>
          <w:szCs w:val="24"/>
          <w:lang w:eastAsia="en-GB"/>
        </w:rPr>
      </w:pPr>
      <w:r>
        <w:rPr>
          <w:szCs w:val="24"/>
          <w:lang w:eastAsia="en-GB"/>
        </w:rPr>
        <w:t xml:space="preserve">When a UE transitions to RRC_INACTIVE, the donor </w:t>
      </w:r>
      <w:proofErr w:type="spellStart"/>
      <w:r>
        <w:rPr>
          <w:szCs w:val="24"/>
          <w:lang w:eastAsia="en-GB"/>
        </w:rPr>
        <w:t>gNB</w:t>
      </w:r>
      <w:proofErr w:type="spellEnd"/>
      <w:r w:rsidR="00E856D4">
        <w:rPr>
          <w:szCs w:val="24"/>
          <w:lang w:eastAsia="en-GB"/>
        </w:rPr>
        <w:t xml:space="preserve"> provides </w:t>
      </w:r>
      <w:r w:rsidR="004C064B">
        <w:rPr>
          <w:szCs w:val="24"/>
          <w:lang w:eastAsia="en-GB"/>
        </w:rPr>
        <w:t>the UE with an</w:t>
      </w:r>
      <w:r w:rsidR="00E856D4">
        <w:rPr>
          <w:szCs w:val="24"/>
          <w:lang w:eastAsia="en-GB"/>
        </w:rPr>
        <w:t xml:space="preserve"> RNA</w:t>
      </w:r>
      <w:r w:rsidR="004C064B">
        <w:rPr>
          <w:szCs w:val="24"/>
          <w:lang w:eastAsia="en-GB"/>
        </w:rPr>
        <w:t>, where t</w:t>
      </w:r>
      <w:r w:rsidR="00E856D4">
        <w:rPr>
          <w:szCs w:val="24"/>
          <w:lang w:eastAsia="en-GB"/>
        </w:rPr>
        <w:t xml:space="preserve">he RNA may be specified by a list of one or more cells, or one or more RAN areas (where a RAN area is a subset of or equal to a tracking area and is identified by </w:t>
      </w:r>
      <w:r w:rsidR="004E53DE">
        <w:rPr>
          <w:szCs w:val="24"/>
          <w:lang w:eastAsia="en-GB"/>
        </w:rPr>
        <w:t>a TAC and optionally a RANAC</w:t>
      </w:r>
      <w:r w:rsidR="00E856D4">
        <w:rPr>
          <w:szCs w:val="24"/>
          <w:lang w:eastAsia="en-GB"/>
        </w:rPr>
        <w:t>)</w:t>
      </w:r>
      <w:r w:rsidR="004E53DE">
        <w:rPr>
          <w:szCs w:val="24"/>
          <w:lang w:eastAsia="en-GB"/>
        </w:rPr>
        <w:t>.</w:t>
      </w:r>
      <w:r w:rsidR="004C064B">
        <w:rPr>
          <w:szCs w:val="24"/>
          <w:lang w:eastAsia="en-GB"/>
        </w:rPr>
        <w:t xml:space="preserve"> UEs must support all types of RNA configurations.</w:t>
      </w:r>
    </w:p>
    <w:p w14:paraId="79BA3959" w14:textId="5A4CCC40" w:rsidR="000D2495" w:rsidRDefault="004C064B" w:rsidP="000D2495">
      <w:r>
        <w:rPr>
          <w:szCs w:val="24"/>
          <w:lang w:eastAsia="en-GB"/>
        </w:rPr>
        <w:t xml:space="preserve">It seems possible then, that for </w:t>
      </w:r>
      <w:r w:rsidR="005C6F08">
        <w:rPr>
          <w:szCs w:val="24"/>
          <w:lang w:eastAsia="en-GB"/>
        </w:rPr>
        <w:t xml:space="preserve">a </w:t>
      </w:r>
      <w:r>
        <w:rPr>
          <w:szCs w:val="24"/>
          <w:lang w:eastAsia="en-GB"/>
        </w:rPr>
        <w:t xml:space="preserve">UE on-board </w:t>
      </w:r>
      <w:r w:rsidR="005C6F08">
        <w:rPr>
          <w:szCs w:val="24"/>
          <w:lang w:eastAsia="en-GB"/>
        </w:rPr>
        <w:t xml:space="preserve">a </w:t>
      </w:r>
      <w:r>
        <w:rPr>
          <w:szCs w:val="24"/>
          <w:lang w:eastAsia="en-GB"/>
        </w:rPr>
        <w:t xml:space="preserve">m-IAB, </w:t>
      </w:r>
      <w:r w:rsidR="00EA02D9">
        <w:rPr>
          <w:szCs w:val="24"/>
          <w:lang w:eastAsia="en-GB"/>
        </w:rPr>
        <w:t xml:space="preserve">signalling storms caused by dynamic RANACs </w:t>
      </w:r>
      <w:r>
        <w:rPr>
          <w:szCs w:val="24"/>
          <w:lang w:eastAsia="en-GB"/>
        </w:rPr>
        <w:t xml:space="preserve">could be minimized by configuring </w:t>
      </w:r>
      <w:r w:rsidR="00952B91">
        <w:rPr>
          <w:szCs w:val="24"/>
          <w:lang w:eastAsia="en-GB"/>
        </w:rPr>
        <w:t>the UE</w:t>
      </w:r>
      <w:r w:rsidR="005C6F08">
        <w:rPr>
          <w:szCs w:val="24"/>
          <w:lang w:eastAsia="en-GB"/>
        </w:rPr>
        <w:t>’</w:t>
      </w:r>
      <w:r w:rsidR="00952B91">
        <w:rPr>
          <w:szCs w:val="24"/>
          <w:lang w:eastAsia="en-GB"/>
        </w:rPr>
        <w:t xml:space="preserve">s RNA according to the RANACs (or, more simply, according to the TACs) on the m-IAB travel route. In this case, the </w:t>
      </w:r>
      <w:r w:rsidR="005C6F08">
        <w:rPr>
          <w:szCs w:val="24"/>
          <w:lang w:eastAsia="en-GB"/>
        </w:rPr>
        <w:t>donor IAB</w:t>
      </w:r>
      <w:r w:rsidR="00952B91">
        <w:rPr>
          <w:szCs w:val="24"/>
          <w:lang w:eastAsia="en-GB"/>
        </w:rPr>
        <w:t xml:space="preserve"> would configure the UE with the RNA upon connection suspension (</w:t>
      </w:r>
      <w:proofErr w:type="gramStart"/>
      <w:r w:rsidR="00952B91">
        <w:rPr>
          <w:szCs w:val="24"/>
          <w:lang w:eastAsia="en-GB"/>
        </w:rPr>
        <w:t>i.e.</w:t>
      </w:r>
      <w:proofErr w:type="gramEnd"/>
      <w:r w:rsidR="00952B91">
        <w:rPr>
          <w:szCs w:val="24"/>
          <w:lang w:eastAsia="en-GB"/>
        </w:rPr>
        <w:t xml:space="preserve"> when sending the UE to RRC_INACTIVE). Once again, this could be handled by legacy mechanisms </w:t>
      </w:r>
      <w:r w:rsidR="00E96E89">
        <w:rPr>
          <w:szCs w:val="24"/>
          <w:lang w:eastAsia="en-GB"/>
        </w:rPr>
        <w:t xml:space="preserve">in the </w:t>
      </w:r>
      <w:r w:rsidR="00952B91">
        <w:rPr>
          <w:szCs w:val="24"/>
          <w:lang w:eastAsia="en-GB"/>
        </w:rPr>
        <w:t>RAN</w:t>
      </w:r>
      <w:r w:rsidR="000D2495">
        <w:rPr>
          <w:szCs w:val="24"/>
          <w:lang w:eastAsia="en-GB"/>
        </w:rPr>
        <w:t xml:space="preserve">, </w:t>
      </w:r>
      <w:r w:rsidR="000D2495">
        <w:t xml:space="preserve">and enables </w:t>
      </w:r>
      <w:r w:rsidR="00EA02D9">
        <w:t xml:space="preserve">RANAC-related signalling storms </w:t>
      </w:r>
      <w:r w:rsidR="000D2495">
        <w:t>to be managed for both legacy and Rel-18 UEs</w:t>
      </w:r>
    </w:p>
    <w:p w14:paraId="777529DF" w14:textId="14DD3F6F" w:rsidR="00952B91" w:rsidRDefault="00952B91" w:rsidP="00FB0C7B">
      <w:pPr>
        <w:widowControl w:val="0"/>
        <w:rPr>
          <w:szCs w:val="24"/>
          <w:lang w:eastAsia="en-GB"/>
        </w:rPr>
      </w:pPr>
      <w:r w:rsidRPr="000D2495">
        <w:rPr>
          <w:b/>
          <w:bCs/>
          <w:szCs w:val="24"/>
          <w:lang w:eastAsia="en-GB"/>
        </w:rPr>
        <w:t>Observation</w:t>
      </w:r>
      <w:r w:rsidR="000D2495" w:rsidRPr="000D2495">
        <w:rPr>
          <w:b/>
          <w:bCs/>
          <w:szCs w:val="24"/>
          <w:lang w:eastAsia="en-GB"/>
        </w:rPr>
        <w:t xml:space="preserve"> </w:t>
      </w:r>
      <w:r w:rsidR="005C6F08">
        <w:rPr>
          <w:b/>
          <w:bCs/>
          <w:szCs w:val="24"/>
          <w:lang w:eastAsia="en-GB"/>
        </w:rPr>
        <w:t>5</w:t>
      </w:r>
      <w:r w:rsidRPr="000D2495">
        <w:rPr>
          <w:b/>
          <w:bCs/>
          <w:szCs w:val="24"/>
          <w:lang w:eastAsia="en-GB"/>
        </w:rPr>
        <w:t>:</w:t>
      </w:r>
      <w:r>
        <w:rPr>
          <w:szCs w:val="24"/>
          <w:lang w:eastAsia="en-GB"/>
        </w:rPr>
        <w:t xml:space="preserve"> If dynamic RANACs are supported in m-IAB, </w:t>
      </w:r>
      <w:r w:rsidR="00EA02D9">
        <w:rPr>
          <w:szCs w:val="24"/>
          <w:lang w:eastAsia="en-GB"/>
        </w:rPr>
        <w:t xml:space="preserve">RANAC-related signalling storms </w:t>
      </w:r>
      <w:r>
        <w:rPr>
          <w:szCs w:val="24"/>
          <w:lang w:eastAsia="en-GB"/>
        </w:rPr>
        <w:t>can be minimized with legacy mechanisms</w:t>
      </w:r>
      <w:r w:rsidR="000D2495">
        <w:rPr>
          <w:szCs w:val="24"/>
          <w:lang w:eastAsia="en-GB"/>
        </w:rPr>
        <w:t xml:space="preserve">, </w:t>
      </w:r>
      <w:proofErr w:type="gramStart"/>
      <w:r w:rsidR="000D2495">
        <w:rPr>
          <w:szCs w:val="24"/>
          <w:lang w:eastAsia="en-GB"/>
        </w:rPr>
        <w:t>i.e.</w:t>
      </w:r>
      <w:proofErr w:type="gramEnd"/>
      <w:r w:rsidR="000D2495">
        <w:rPr>
          <w:szCs w:val="24"/>
          <w:lang w:eastAsia="en-GB"/>
        </w:rPr>
        <w:t xml:space="preserve"> </w:t>
      </w:r>
      <w:r>
        <w:rPr>
          <w:szCs w:val="24"/>
          <w:lang w:eastAsia="en-GB"/>
        </w:rPr>
        <w:t>by</w:t>
      </w:r>
      <w:r w:rsidR="000D2495">
        <w:rPr>
          <w:szCs w:val="24"/>
          <w:lang w:eastAsia="en-GB"/>
        </w:rPr>
        <w:t xml:space="preserve"> having the </w:t>
      </w:r>
      <w:r w:rsidR="001D6083" w:rsidRPr="00163063">
        <w:rPr>
          <w:szCs w:val="24"/>
          <w:lang w:eastAsia="en-GB"/>
        </w:rPr>
        <w:t>donor IAB-CU</w:t>
      </w:r>
      <w:r>
        <w:rPr>
          <w:szCs w:val="24"/>
          <w:lang w:eastAsia="en-GB"/>
        </w:rPr>
        <w:t xml:space="preserve"> </w:t>
      </w:r>
      <w:r w:rsidR="000D2495">
        <w:rPr>
          <w:szCs w:val="24"/>
          <w:lang w:eastAsia="en-GB"/>
        </w:rPr>
        <w:t>provide</w:t>
      </w:r>
      <w:r>
        <w:rPr>
          <w:szCs w:val="24"/>
          <w:lang w:eastAsia="en-GB"/>
        </w:rPr>
        <w:t xml:space="preserve"> </w:t>
      </w:r>
      <w:r w:rsidR="001D6083">
        <w:rPr>
          <w:szCs w:val="24"/>
          <w:lang w:eastAsia="en-GB"/>
        </w:rPr>
        <w:t>UEs</w:t>
      </w:r>
      <w:r>
        <w:rPr>
          <w:szCs w:val="24"/>
          <w:lang w:eastAsia="en-GB"/>
        </w:rPr>
        <w:t xml:space="preserve"> with </w:t>
      </w:r>
      <w:r w:rsidR="000D2495">
        <w:rPr>
          <w:szCs w:val="24"/>
          <w:lang w:eastAsia="en-GB"/>
        </w:rPr>
        <w:t>an appropriate</w:t>
      </w:r>
      <w:r>
        <w:rPr>
          <w:szCs w:val="24"/>
          <w:lang w:eastAsia="en-GB"/>
        </w:rPr>
        <w:t xml:space="preserve"> </w:t>
      </w:r>
      <w:r w:rsidR="000D2495">
        <w:rPr>
          <w:szCs w:val="24"/>
          <w:lang w:eastAsia="en-GB"/>
        </w:rPr>
        <w:t>RNA</w:t>
      </w:r>
      <w:r w:rsidR="001D6083">
        <w:rPr>
          <w:szCs w:val="24"/>
          <w:lang w:eastAsia="en-GB"/>
        </w:rPr>
        <w:t xml:space="preserve"> (e.g. based on RANACs or TACs on the m-IAB route)</w:t>
      </w:r>
      <w:r w:rsidR="000D2495">
        <w:rPr>
          <w:szCs w:val="24"/>
          <w:lang w:eastAsia="en-GB"/>
        </w:rPr>
        <w:t>.</w:t>
      </w:r>
    </w:p>
    <w:p w14:paraId="1A9F0747" w14:textId="7FB9A146" w:rsidR="000D2495" w:rsidRDefault="000D2495" w:rsidP="000D2495">
      <w:r w:rsidRPr="006315CE">
        <w:rPr>
          <w:b/>
          <w:bCs/>
        </w:rPr>
        <w:t xml:space="preserve">Observation </w:t>
      </w:r>
      <w:r w:rsidR="005C6F08">
        <w:rPr>
          <w:b/>
          <w:bCs/>
        </w:rPr>
        <w:t>6</w:t>
      </w:r>
      <w:r w:rsidRPr="006315CE">
        <w:rPr>
          <w:b/>
          <w:bCs/>
        </w:rPr>
        <w:t>:</w:t>
      </w:r>
      <w:r>
        <w:t xml:space="preserve"> Managing </w:t>
      </w:r>
      <w:r w:rsidR="00EA02D9">
        <w:t xml:space="preserve">signalling storms from dynamic RANACs through RNA configurations </w:t>
      </w:r>
      <w:r>
        <w:t>is applicable to legacy and Rel-18 UEs</w:t>
      </w:r>
      <w:r w:rsidR="009906B5">
        <w:t xml:space="preserve">, whereas </w:t>
      </w:r>
      <w:r>
        <w:t xml:space="preserve">enhancements focused on </w:t>
      </w:r>
      <w:proofErr w:type="spellStart"/>
      <w:r>
        <w:t>Uu</w:t>
      </w:r>
      <w:proofErr w:type="spellEnd"/>
      <w:r>
        <w:t xml:space="preserve"> interface can only be applied to Rel-18 UEs.</w:t>
      </w:r>
    </w:p>
    <w:p w14:paraId="61E6DF32" w14:textId="0BA6CDD6" w:rsidR="000D2495" w:rsidRDefault="000D2495" w:rsidP="000D2495">
      <w:r w:rsidRPr="00320711">
        <w:rPr>
          <w:b/>
          <w:bCs/>
        </w:rPr>
        <w:t xml:space="preserve">Proposal </w:t>
      </w:r>
      <w:r w:rsidR="005C6F08">
        <w:rPr>
          <w:b/>
          <w:bCs/>
        </w:rPr>
        <w:t>2</w:t>
      </w:r>
      <w:r>
        <w:t xml:space="preserve">: RAN2 assumes </w:t>
      </w:r>
      <w:r w:rsidR="00FB5A4C">
        <w:t xml:space="preserve">RANAC-related signalling storms </w:t>
      </w:r>
      <w:r>
        <w:t>may be managed with legacy mechanisms and does not pursue further optimization unless issue is raised in another WG.</w:t>
      </w:r>
    </w:p>
    <w:p w14:paraId="69B7B8E6" w14:textId="69E07FC9" w:rsidR="009339CB" w:rsidRPr="006E13D1" w:rsidRDefault="005A13AB" w:rsidP="009339CB">
      <w:pPr>
        <w:pStyle w:val="Heading1"/>
      </w:pPr>
      <w:bookmarkStart w:id="0" w:name="_MON_1736865833"/>
      <w:bookmarkEnd w:id="0"/>
      <w:r>
        <w:t>3</w:t>
      </w:r>
      <w:r w:rsidR="009339CB" w:rsidRPr="006E13D1">
        <w:tab/>
      </w:r>
      <w:r w:rsidR="009339CB">
        <w:t>Conclusion</w:t>
      </w:r>
    </w:p>
    <w:p w14:paraId="6E24B0F4" w14:textId="3DD6FF25" w:rsidR="009339CB" w:rsidRPr="006E13D1" w:rsidRDefault="009339CB" w:rsidP="009339CB">
      <w:r>
        <w:t>This document has made the following observations:</w:t>
      </w:r>
    </w:p>
    <w:p w14:paraId="10A58112" w14:textId="73DB3696" w:rsidR="009339CB" w:rsidRDefault="009339CB" w:rsidP="009339CB">
      <w:r w:rsidRPr="00B84DB2">
        <w:rPr>
          <w:b/>
        </w:rPr>
        <w:t>Observation 1</w:t>
      </w:r>
      <w:r w:rsidRPr="007A2E55">
        <w:rPr>
          <w:bCs/>
        </w:rPr>
        <w:t>:</w:t>
      </w:r>
      <w:r>
        <w:t xml:space="preserve"> </w:t>
      </w:r>
      <w:r w:rsidR="009906B5" w:rsidRPr="009906B5">
        <w:t xml:space="preserve">Frequent TAU from on-board UEs can be minimized by legacy mechanisms, </w:t>
      </w:r>
      <w:proofErr w:type="gramStart"/>
      <w:r w:rsidR="009906B5" w:rsidRPr="009906B5">
        <w:t>i.e.</w:t>
      </w:r>
      <w:proofErr w:type="gramEnd"/>
      <w:r w:rsidR="009906B5" w:rsidRPr="009906B5">
        <w:t xml:space="preserve"> by configuring the UEs with a TAI list.</w:t>
      </w:r>
    </w:p>
    <w:p w14:paraId="38554FE7" w14:textId="396B4487" w:rsidR="009339CB" w:rsidRDefault="009339CB" w:rsidP="009339CB">
      <w:r w:rsidRPr="00B84DB2">
        <w:rPr>
          <w:b/>
        </w:rPr>
        <w:t xml:space="preserve">Observation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</w:t>
      </w:r>
      <w:r w:rsidR="009906B5" w:rsidRPr="009906B5">
        <w:t xml:space="preserve">Managing TAUs with registration areas is applicable to legacy and Rel-18 UEs, whereas enhancements focused on </w:t>
      </w:r>
      <w:proofErr w:type="spellStart"/>
      <w:r w:rsidR="009906B5" w:rsidRPr="009906B5">
        <w:t>Uu</w:t>
      </w:r>
      <w:proofErr w:type="spellEnd"/>
      <w:r w:rsidR="009906B5" w:rsidRPr="009906B5">
        <w:t xml:space="preserve"> interface can only be applied to Rel-18 UEs.</w:t>
      </w:r>
    </w:p>
    <w:p w14:paraId="6330C608" w14:textId="6387561A" w:rsidR="009906B5" w:rsidRDefault="009906B5" w:rsidP="009339CB">
      <w:r w:rsidRPr="009906B5">
        <w:rPr>
          <w:b/>
          <w:bCs/>
        </w:rPr>
        <w:t>Observation 3</w:t>
      </w:r>
      <w:r>
        <w:t xml:space="preserve">: </w:t>
      </w:r>
      <w:r w:rsidRPr="009906B5">
        <w:t>Whether m-IAB-DU is configured to broadcast the TAC of the m-IAB’s parent-DU or the TAC of the donor-DU does not impact procedures for the on-board UEs.</w:t>
      </w:r>
    </w:p>
    <w:p w14:paraId="631EC372" w14:textId="7D701B66" w:rsidR="009906B5" w:rsidRDefault="009906B5" w:rsidP="009339CB">
      <w:r w:rsidRPr="009906B5">
        <w:rPr>
          <w:b/>
          <w:bCs/>
        </w:rPr>
        <w:t>Observation 4</w:t>
      </w:r>
      <w:r>
        <w:t xml:space="preserve">: </w:t>
      </w:r>
      <w:r w:rsidRPr="009906B5">
        <w:t>Assuming reasonable network planning, TAU-related signalling storms can be reduced if the m-IAB broadcasts the TAC of its parent-DU instead of the TAC of its donor-DU.</w:t>
      </w:r>
    </w:p>
    <w:p w14:paraId="72F683D9" w14:textId="01A0EA34" w:rsidR="009906B5" w:rsidRDefault="009906B5" w:rsidP="009339CB">
      <w:r w:rsidRPr="009906B5">
        <w:rPr>
          <w:b/>
          <w:bCs/>
        </w:rPr>
        <w:t>Observation 5</w:t>
      </w:r>
      <w:r>
        <w:t xml:space="preserve">: </w:t>
      </w:r>
      <w:r w:rsidR="001D6083" w:rsidRPr="001D6083">
        <w:t xml:space="preserve">If dynamic RANACs are supported in m-IAB, </w:t>
      </w:r>
      <w:r w:rsidR="00FB5A4C">
        <w:rPr>
          <w:szCs w:val="24"/>
          <w:lang w:eastAsia="en-GB"/>
        </w:rPr>
        <w:t xml:space="preserve">RANAC-related signalling storms </w:t>
      </w:r>
      <w:r w:rsidR="001D6083" w:rsidRPr="001D6083">
        <w:t xml:space="preserve">can be minimized with legacy mechanisms, </w:t>
      </w:r>
      <w:proofErr w:type="gramStart"/>
      <w:r w:rsidR="001D6083" w:rsidRPr="001D6083">
        <w:t>i.e.</w:t>
      </w:r>
      <w:proofErr w:type="gramEnd"/>
      <w:r w:rsidR="001D6083" w:rsidRPr="001D6083">
        <w:t xml:space="preserve"> by having the donor IAB-CU provide UE</w:t>
      </w:r>
      <w:r w:rsidR="001D6083">
        <w:t>s</w:t>
      </w:r>
      <w:r w:rsidR="001D6083" w:rsidRPr="001D6083">
        <w:t xml:space="preserve"> with an appropriate RNA (e.g. based on the known RANACs or TACs on the m-IAB route).</w:t>
      </w:r>
    </w:p>
    <w:p w14:paraId="1D71247B" w14:textId="56C9003D" w:rsidR="009906B5" w:rsidRDefault="009906B5" w:rsidP="009339CB">
      <w:r w:rsidRPr="009906B5">
        <w:rPr>
          <w:b/>
          <w:bCs/>
        </w:rPr>
        <w:t>Observation 6</w:t>
      </w:r>
      <w:r>
        <w:t xml:space="preserve">: </w:t>
      </w:r>
      <w:r w:rsidRPr="009906B5">
        <w:t xml:space="preserve">Managing </w:t>
      </w:r>
      <w:r w:rsidR="00EA02D9">
        <w:t>signalling storms from dynamic RANACs through RNA configurations</w:t>
      </w:r>
      <w:r w:rsidRPr="009906B5">
        <w:t xml:space="preserve"> is applicable to legacy and Rel-18 UEs, whereas enhancements focused on </w:t>
      </w:r>
      <w:proofErr w:type="spellStart"/>
      <w:r w:rsidRPr="009906B5">
        <w:t>Uu</w:t>
      </w:r>
      <w:proofErr w:type="spellEnd"/>
      <w:r w:rsidRPr="009906B5">
        <w:t xml:space="preserve"> interface can only be applied to Rel-18 UEs.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lastRenderedPageBreak/>
        <w:t>And proposed the following:</w:t>
      </w:r>
    </w:p>
    <w:p w14:paraId="2E8B4436" w14:textId="29E9599B" w:rsidR="009339CB" w:rsidRDefault="009339CB" w:rsidP="009339CB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</w:t>
      </w:r>
      <w:r w:rsidR="009906B5" w:rsidRPr="009906B5">
        <w:t>RAN2 assumes TAU may be managed with legacy mechanisms and does not pursue further optimization unless issue is raised in another WG.</w:t>
      </w:r>
    </w:p>
    <w:p w14:paraId="2FC48D8E" w14:textId="16DDC7D8" w:rsidR="009339CB" w:rsidRPr="006E13D1" w:rsidRDefault="009339CB" w:rsidP="009339CB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</w:t>
      </w:r>
      <w:r w:rsidR="009906B5" w:rsidRPr="009906B5">
        <w:t xml:space="preserve">RAN2 assumes </w:t>
      </w:r>
      <w:r w:rsidR="00FB5A4C">
        <w:t xml:space="preserve">RANAC-related signalling storms </w:t>
      </w:r>
      <w:r w:rsidR="009906B5" w:rsidRPr="009906B5">
        <w:t>may be managed with legacy mechanisms and does not pursue further optimization unless issue is raised in another WG.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85904" w14:textId="77777777" w:rsidR="00361E7E" w:rsidRDefault="00361E7E">
      <w:r>
        <w:separator/>
      </w:r>
    </w:p>
  </w:endnote>
  <w:endnote w:type="continuationSeparator" w:id="0">
    <w:p w14:paraId="1010C03C" w14:textId="77777777" w:rsidR="00361E7E" w:rsidRDefault="00361E7E">
      <w:r>
        <w:continuationSeparator/>
      </w:r>
    </w:p>
  </w:endnote>
  <w:endnote w:type="continuationNotice" w:id="1">
    <w:p w14:paraId="638D2E77" w14:textId="77777777" w:rsidR="00361E7E" w:rsidRDefault="00361E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22214" w14:textId="77777777" w:rsidR="00361E7E" w:rsidRDefault="00361E7E">
      <w:r>
        <w:separator/>
      </w:r>
    </w:p>
  </w:footnote>
  <w:footnote w:type="continuationSeparator" w:id="0">
    <w:p w14:paraId="2DADB7AF" w14:textId="77777777" w:rsidR="00361E7E" w:rsidRDefault="00361E7E">
      <w:r>
        <w:continuationSeparator/>
      </w:r>
    </w:p>
  </w:footnote>
  <w:footnote w:type="continuationNotice" w:id="1">
    <w:p w14:paraId="68646F6C" w14:textId="77777777" w:rsidR="00361E7E" w:rsidRDefault="00361E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C6581E"/>
    <w:multiLevelType w:val="multilevel"/>
    <w:tmpl w:val="7BFE2C36"/>
    <w:lvl w:ilvl="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AF727DB"/>
    <w:multiLevelType w:val="multilevel"/>
    <w:tmpl w:val="5D42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BC"/>
    <w:rsid w:val="00006C10"/>
    <w:rsid w:val="00016557"/>
    <w:rsid w:val="00023C40"/>
    <w:rsid w:val="00033397"/>
    <w:rsid w:val="00036278"/>
    <w:rsid w:val="00040095"/>
    <w:rsid w:val="00053B33"/>
    <w:rsid w:val="00065268"/>
    <w:rsid w:val="00073C9C"/>
    <w:rsid w:val="00076412"/>
    <w:rsid w:val="00080512"/>
    <w:rsid w:val="00090468"/>
    <w:rsid w:val="00094568"/>
    <w:rsid w:val="000B7BCF"/>
    <w:rsid w:val="000C522B"/>
    <w:rsid w:val="000D2495"/>
    <w:rsid w:val="000D58AB"/>
    <w:rsid w:val="00112F1A"/>
    <w:rsid w:val="00142D6D"/>
    <w:rsid w:val="00145075"/>
    <w:rsid w:val="001741A0"/>
    <w:rsid w:val="00175FA0"/>
    <w:rsid w:val="00194CD0"/>
    <w:rsid w:val="001B49C9"/>
    <w:rsid w:val="001B5E5F"/>
    <w:rsid w:val="001C23F4"/>
    <w:rsid w:val="001C2725"/>
    <w:rsid w:val="001C4F79"/>
    <w:rsid w:val="001D6083"/>
    <w:rsid w:val="001F168B"/>
    <w:rsid w:val="001F7831"/>
    <w:rsid w:val="00204045"/>
    <w:rsid w:val="0020712B"/>
    <w:rsid w:val="0022606D"/>
    <w:rsid w:val="00231728"/>
    <w:rsid w:val="00235DE1"/>
    <w:rsid w:val="00244A05"/>
    <w:rsid w:val="00250404"/>
    <w:rsid w:val="00256B74"/>
    <w:rsid w:val="002610D8"/>
    <w:rsid w:val="002747EC"/>
    <w:rsid w:val="00280412"/>
    <w:rsid w:val="002855BF"/>
    <w:rsid w:val="002B2988"/>
    <w:rsid w:val="002B3F06"/>
    <w:rsid w:val="002C48A3"/>
    <w:rsid w:val="002F0D22"/>
    <w:rsid w:val="00311B17"/>
    <w:rsid w:val="003172DC"/>
    <w:rsid w:val="00320711"/>
    <w:rsid w:val="00325AE3"/>
    <w:rsid w:val="00326069"/>
    <w:rsid w:val="00344761"/>
    <w:rsid w:val="003463AC"/>
    <w:rsid w:val="0035462D"/>
    <w:rsid w:val="00361E7E"/>
    <w:rsid w:val="0036459E"/>
    <w:rsid w:val="003645A5"/>
    <w:rsid w:val="00364B41"/>
    <w:rsid w:val="00383096"/>
    <w:rsid w:val="0039346C"/>
    <w:rsid w:val="003A300F"/>
    <w:rsid w:val="003A41EF"/>
    <w:rsid w:val="003B40AD"/>
    <w:rsid w:val="003C4E37"/>
    <w:rsid w:val="003E16BE"/>
    <w:rsid w:val="003F4E28"/>
    <w:rsid w:val="004006E8"/>
    <w:rsid w:val="00401855"/>
    <w:rsid w:val="00437765"/>
    <w:rsid w:val="00446C3A"/>
    <w:rsid w:val="00465587"/>
    <w:rsid w:val="00477455"/>
    <w:rsid w:val="00490DA9"/>
    <w:rsid w:val="004A1F7B"/>
    <w:rsid w:val="004C064B"/>
    <w:rsid w:val="004C44D2"/>
    <w:rsid w:val="004D3578"/>
    <w:rsid w:val="004D380D"/>
    <w:rsid w:val="004E10C8"/>
    <w:rsid w:val="004E213A"/>
    <w:rsid w:val="004E53DE"/>
    <w:rsid w:val="004F4540"/>
    <w:rsid w:val="004F73A7"/>
    <w:rsid w:val="00503171"/>
    <w:rsid w:val="00506C28"/>
    <w:rsid w:val="00534DA0"/>
    <w:rsid w:val="00543DB9"/>
    <w:rsid w:val="00543E6C"/>
    <w:rsid w:val="00565087"/>
    <w:rsid w:val="0056573F"/>
    <w:rsid w:val="00571279"/>
    <w:rsid w:val="005A13AB"/>
    <w:rsid w:val="005A49C6"/>
    <w:rsid w:val="005C6F08"/>
    <w:rsid w:val="005C766E"/>
    <w:rsid w:val="005C7CD5"/>
    <w:rsid w:val="00611566"/>
    <w:rsid w:val="006315CE"/>
    <w:rsid w:val="00633F09"/>
    <w:rsid w:val="00645942"/>
    <w:rsid w:val="00646D99"/>
    <w:rsid w:val="00656910"/>
    <w:rsid w:val="006574C0"/>
    <w:rsid w:val="006649E7"/>
    <w:rsid w:val="006747B3"/>
    <w:rsid w:val="00686194"/>
    <w:rsid w:val="00696821"/>
    <w:rsid w:val="006C1F4E"/>
    <w:rsid w:val="006C66D8"/>
    <w:rsid w:val="006D1E24"/>
    <w:rsid w:val="006D35DE"/>
    <w:rsid w:val="006D4DF9"/>
    <w:rsid w:val="006E1057"/>
    <w:rsid w:val="006E1417"/>
    <w:rsid w:val="006E2F9E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2EE0"/>
    <w:rsid w:val="00813245"/>
    <w:rsid w:val="00840DE0"/>
    <w:rsid w:val="008414B4"/>
    <w:rsid w:val="00847CD0"/>
    <w:rsid w:val="008607A8"/>
    <w:rsid w:val="0086354A"/>
    <w:rsid w:val="008768CA"/>
    <w:rsid w:val="00877EF9"/>
    <w:rsid w:val="00880559"/>
    <w:rsid w:val="008B2167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13D3D"/>
    <w:rsid w:val="00923655"/>
    <w:rsid w:val="009339CB"/>
    <w:rsid w:val="00936071"/>
    <w:rsid w:val="009376CD"/>
    <w:rsid w:val="00940212"/>
    <w:rsid w:val="00942EC2"/>
    <w:rsid w:val="00952B91"/>
    <w:rsid w:val="00961B32"/>
    <w:rsid w:val="00962509"/>
    <w:rsid w:val="00970DB3"/>
    <w:rsid w:val="00974BB0"/>
    <w:rsid w:val="00975BCD"/>
    <w:rsid w:val="009818A2"/>
    <w:rsid w:val="00981CF6"/>
    <w:rsid w:val="009906B5"/>
    <w:rsid w:val="009928A9"/>
    <w:rsid w:val="009A0AF3"/>
    <w:rsid w:val="009B07CD"/>
    <w:rsid w:val="009C19E9"/>
    <w:rsid w:val="009C4574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B05380"/>
    <w:rsid w:val="00B05962"/>
    <w:rsid w:val="00B15449"/>
    <w:rsid w:val="00B16C2F"/>
    <w:rsid w:val="00B27303"/>
    <w:rsid w:val="00B476F8"/>
    <w:rsid w:val="00B47FD1"/>
    <w:rsid w:val="00B516BB"/>
    <w:rsid w:val="00B7538C"/>
    <w:rsid w:val="00B84DB2"/>
    <w:rsid w:val="00BC3555"/>
    <w:rsid w:val="00BE01AE"/>
    <w:rsid w:val="00C12B51"/>
    <w:rsid w:val="00C24650"/>
    <w:rsid w:val="00C25465"/>
    <w:rsid w:val="00C33079"/>
    <w:rsid w:val="00C34CE0"/>
    <w:rsid w:val="00C55A12"/>
    <w:rsid w:val="00C6553E"/>
    <w:rsid w:val="00C83A13"/>
    <w:rsid w:val="00C86F10"/>
    <w:rsid w:val="00C9068C"/>
    <w:rsid w:val="00C92967"/>
    <w:rsid w:val="00CA3D0C"/>
    <w:rsid w:val="00CA654B"/>
    <w:rsid w:val="00CB2B40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0D59"/>
    <w:rsid w:val="00DE25D2"/>
    <w:rsid w:val="00DF7C20"/>
    <w:rsid w:val="00E038FB"/>
    <w:rsid w:val="00E13CB6"/>
    <w:rsid w:val="00E151BE"/>
    <w:rsid w:val="00E46C08"/>
    <w:rsid w:val="00E471CF"/>
    <w:rsid w:val="00E62068"/>
    <w:rsid w:val="00E62835"/>
    <w:rsid w:val="00E77645"/>
    <w:rsid w:val="00E83697"/>
    <w:rsid w:val="00E856D4"/>
    <w:rsid w:val="00E859B6"/>
    <w:rsid w:val="00E96E89"/>
    <w:rsid w:val="00EA02D9"/>
    <w:rsid w:val="00EA66C9"/>
    <w:rsid w:val="00EB5D32"/>
    <w:rsid w:val="00EC4A25"/>
    <w:rsid w:val="00EE3B51"/>
    <w:rsid w:val="00EF1E15"/>
    <w:rsid w:val="00EF612C"/>
    <w:rsid w:val="00F025A2"/>
    <w:rsid w:val="00F036E9"/>
    <w:rsid w:val="00F07388"/>
    <w:rsid w:val="00F147A7"/>
    <w:rsid w:val="00F2026E"/>
    <w:rsid w:val="00F2210A"/>
    <w:rsid w:val="00F31372"/>
    <w:rsid w:val="00F362D7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0C7B"/>
    <w:rsid w:val="00FB36FA"/>
    <w:rsid w:val="00FB5A4C"/>
    <w:rsid w:val="00FC09CA"/>
    <w:rsid w:val="00FC1192"/>
    <w:rsid w:val="00FE106D"/>
    <w:rsid w:val="00FE251B"/>
    <w:rsid w:val="07D7AE10"/>
    <w:rsid w:val="25242F4D"/>
    <w:rsid w:val="2FA4E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51B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81C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1CF6"/>
  </w:style>
  <w:style w:type="character" w:customStyle="1" w:styleId="CommentTextChar">
    <w:name w:val="Comment Text Char"/>
    <w:basedOn w:val="DefaultParagraphFont"/>
    <w:link w:val="CommentText"/>
    <w:rsid w:val="00981CF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81C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1CF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3_Iu/TSGR3_118/Docs/R3-226831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5AIRPNAIUNRU-859666464-13283</_dlc_DocId>
    <_dlc_DocIdUrl xmlns="71c5aaf6-e6ce-465b-b873-5148d2a4c105">
      <Url>https://nokia.sharepoint.com/sites/c5g/e2earch/_layouts/15/DocIdRedir.aspx?ID=5AIRPNAIUNRU-859666464-13283</Url>
      <Description>5AIRPNAIUNRU-859666464-13283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497F00-4AFA-430F-B268-746EC819CF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purl.org/dc/dcmitype/"/>
    <ds:schemaRef ds:uri="71c5aaf6-e6ce-465b-b873-5148d2a4c105"/>
    <ds:schemaRef ds:uri="a3840f4f-04be-43d1-b2ef-6ff1382503c7"/>
    <ds:schemaRef ds:uri="http://purl.org/dc/terms/"/>
    <ds:schemaRef ds:uri="http://www.w3.org/XML/1998/namespace"/>
    <ds:schemaRef ds:uri="http://schemas.microsoft.com/office/infopath/2007/PartnerControls"/>
    <ds:schemaRef ds:uri="83f22d2f-d16e-4be6-ad4f-29fa0b067c3c"/>
    <ds:schemaRef ds:uri="http://schemas.openxmlformats.org/package/2006/metadata/core-properties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Lappalainen (Nokia)</dc:creator>
  <cp:keywords/>
  <dc:description/>
  <cp:lastModifiedBy>Andrew Lappalainen (Nokia)</cp:lastModifiedBy>
  <cp:revision>2</cp:revision>
  <dcterms:created xsi:type="dcterms:W3CDTF">2023-02-16T16:05:00Z</dcterms:created>
  <dcterms:modified xsi:type="dcterms:W3CDTF">2023-02-16T16:05:00Z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921f407f-b7e6-4249-8600-78b8431d3499</vt:lpwstr>
  </property>
</Properties>
</file>